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40DF">
      <w:pPr>
        <w:spacing w:line="520" w:lineRule="exact"/>
        <w:jc w:val="left"/>
        <w:rPr>
          <w:rFonts w:ascii="方正小标宋_GBK" w:hAnsi="方正小标宋简体" w:eastAsia="黑体" w:cs="方正小标宋简体"/>
          <w:sz w:val="44"/>
          <w:szCs w:val="44"/>
        </w:rPr>
      </w:pPr>
    </w:p>
    <w:p w14:paraId="349332A8">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分包1</w:t>
      </w:r>
      <w:r>
        <w:rPr>
          <w:rFonts w:hint="eastAsia" w:ascii="黑体" w:hAnsi="黑体" w:eastAsia="黑体" w:cs="黑体"/>
          <w:b/>
          <w:bCs/>
          <w:sz w:val="44"/>
          <w:szCs w:val="44"/>
        </w:rPr>
        <w:t>报价表</w:t>
      </w:r>
    </w:p>
    <w:p w14:paraId="00CA5788">
      <w:pPr>
        <w:pStyle w:val="3"/>
        <w:widowControl/>
        <w:spacing w:beforeAutospacing="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广西壮族自治区胸科医院：</w:t>
      </w:r>
    </w:p>
    <w:p w14:paraId="6E85E170">
      <w:pPr>
        <w:pStyle w:val="3"/>
        <w:widowControl/>
        <w:spacing w:beforeAutospacing="0" w:afterAutospacing="0" w:line="440" w:lineRule="exact"/>
        <w:ind w:firstLine="634"/>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我公司收到贵院关于采购医疗设备的询价函，现将报价回复如下：</w:t>
      </w:r>
    </w:p>
    <w:p w14:paraId="75555E66">
      <w:pPr>
        <w:pStyle w:val="3"/>
        <w:widowControl/>
        <w:spacing w:beforeAutospacing="0" w:afterAutospacing="0" w:line="440" w:lineRule="exact"/>
        <w:ind w:firstLine="2802" w:firstLineChars="1001"/>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表1  设备报价</w:t>
      </w:r>
    </w:p>
    <w:tbl>
      <w:tblPr>
        <w:tblStyle w:val="5"/>
        <w:tblW w:w="11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65"/>
        <w:gridCol w:w="4079"/>
        <w:gridCol w:w="791"/>
        <w:gridCol w:w="1569"/>
        <w:gridCol w:w="1616"/>
      </w:tblGrid>
      <w:tr w14:paraId="08EE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9" w:type="dxa"/>
            <w:noWrap/>
            <w:vAlign w:val="center"/>
          </w:tcPr>
          <w:p w14:paraId="75B2459B">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365" w:type="dxa"/>
            <w:noWrap/>
            <w:vAlign w:val="center"/>
          </w:tcPr>
          <w:p w14:paraId="74FC7E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4079" w:type="dxa"/>
            <w:noWrap/>
            <w:vAlign w:val="center"/>
          </w:tcPr>
          <w:p w14:paraId="2E19C8BE">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生产厂家、品牌、规格型号</w:t>
            </w:r>
          </w:p>
        </w:tc>
        <w:tc>
          <w:tcPr>
            <w:tcW w:w="791" w:type="dxa"/>
            <w:noWrap/>
            <w:vAlign w:val="center"/>
          </w:tcPr>
          <w:p w14:paraId="52C0FAB7">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c>
          <w:tcPr>
            <w:tcW w:w="1569" w:type="dxa"/>
            <w:noWrap/>
            <w:vAlign w:val="center"/>
          </w:tcPr>
          <w:p w14:paraId="55D56BDD">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单价（元）</w:t>
            </w:r>
          </w:p>
        </w:tc>
        <w:tc>
          <w:tcPr>
            <w:tcW w:w="1616" w:type="dxa"/>
            <w:noWrap/>
            <w:vAlign w:val="center"/>
          </w:tcPr>
          <w:p w14:paraId="296E2F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金额（元）</w:t>
            </w:r>
          </w:p>
        </w:tc>
      </w:tr>
      <w:tr w14:paraId="1F9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6FE1E05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365" w:type="dxa"/>
            <w:noWrap/>
            <w:vAlign w:val="center"/>
          </w:tcPr>
          <w:p w14:paraId="202CF6A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液相色谱串联质谱检测系统</w:t>
            </w:r>
          </w:p>
        </w:tc>
        <w:tc>
          <w:tcPr>
            <w:tcW w:w="4079" w:type="dxa"/>
            <w:noWrap/>
            <w:vAlign w:val="center"/>
          </w:tcPr>
          <w:p w14:paraId="41D6798C">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00AB72E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cstheme="minorEastAsia"/>
                <w:color w:val="000000"/>
                <w:kern w:val="0"/>
                <w:sz w:val="24"/>
                <w:szCs w:val="24"/>
                <w:lang w:val="en-US" w:eastAsia="zh-CN"/>
              </w:rPr>
              <w:t>套</w:t>
            </w:r>
            <w:bookmarkStart w:id="0" w:name="_GoBack"/>
            <w:bookmarkEnd w:id="0"/>
          </w:p>
        </w:tc>
        <w:tc>
          <w:tcPr>
            <w:tcW w:w="1569" w:type="dxa"/>
            <w:noWrap/>
            <w:vAlign w:val="center"/>
          </w:tcPr>
          <w:p w14:paraId="61C92678">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F631D29">
            <w:pPr>
              <w:jc w:val="center"/>
              <w:rPr>
                <w:rFonts w:hint="eastAsia" w:asciiTheme="minorEastAsia" w:hAnsiTheme="minorEastAsia" w:eastAsiaTheme="minorEastAsia" w:cstheme="minorEastAsia"/>
                <w:color w:val="000000"/>
                <w:kern w:val="0"/>
                <w:sz w:val="24"/>
                <w:szCs w:val="24"/>
              </w:rPr>
            </w:pPr>
          </w:p>
        </w:tc>
      </w:tr>
      <w:tr w14:paraId="4A3C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29" w:type="dxa"/>
            <w:gridSpan w:val="6"/>
            <w:noWrap/>
            <w:vAlign w:val="center"/>
          </w:tcPr>
          <w:p w14:paraId="28C0BCD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合计：</w:t>
            </w:r>
          </w:p>
        </w:tc>
      </w:tr>
      <w:tr w14:paraId="3DF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29" w:type="dxa"/>
            <w:gridSpan w:val="6"/>
            <w:noWrap/>
          </w:tcPr>
          <w:p w14:paraId="119CB5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注：设备报价指货物、备件、专用工具、安装、调试、检验、技术培训及技术资料和包装、运输等全部费用。</w:t>
            </w:r>
          </w:p>
        </w:tc>
      </w:tr>
    </w:tbl>
    <w:p w14:paraId="4B552B11">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p>
    <w:p w14:paraId="424C703B">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SA"/>
        </w:rPr>
        <w:t>表2</w:t>
      </w:r>
      <w:r>
        <w:rPr>
          <w:rFonts w:hint="eastAsia" w:asciiTheme="minorEastAsia" w:hAnsiTheme="minorEastAsia" w:cstheme="minorEastAsia"/>
          <w:color w:val="000000"/>
          <w:kern w:val="0"/>
          <w:sz w:val="28"/>
          <w:szCs w:val="28"/>
          <w:lang w:val="en-US" w:eastAsia="zh-CN" w:bidi="ar-SA"/>
        </w:rPr>
        <w:t xml:space="preserve">   液相色谱串联质谱检测系统</w:t>
      </w:r>
      <w:r>
        <w:rPr>
          <w:rFonts w:hint="eastAsia" w:asciiTheme="minorEastAsia" w:hAnsiTheme="minorEastAsia" w:eastAsiaTheme="minorEastAsia" w:cstheme="minorEastAsia"/>
          <w:color w:val="000000"/>
          <w:kern w:val="0"/>
          <w:sz w:val="28"/>
          <w:szCs w:val="28"/>
          <w:lang w:val="en-US" w:eastAsia="zh-CN" w:bidi="ar-SA"/>
        </w:rPr>
        <w:t>部分参数及相关情况表</w:t>
      </w:r>
      <w:r>
        <w:rPr>
          <w:rFonts w:hint="eastAsia" w:ascii="仿宋_GB2312" w:hAnsi="仿宋_GB2312" w:eastAsia="仿宋_GB2312" w:cs="仿宋_GB2312"/>
          <w:color w:val="000000"/>
          <w:kern w:val="0"/>
          <w:sz w:val="28"/>
          <w:szCs w:val="28"/>
          <w:lang w:val="en-US" w:eastAsia="zh-CN"/>
        </w:rPr>
        <w:t xml:space="preserve"> </w:t>
      </w: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6"/>
        <w:gridCol w:w="7265"/>
        <w:gridCol w:w="3010"/>
      </w:tblGrid>
      <w:tr w14:paraId="631DEF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936" w:type="dxa"/>
            <w:vAlign w:val="center"/>
          </w:tcPr>
          <w:p w14:paraId="1E422057">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265" w:type="dxa"/>
            <w:vAlign w:val="center"/>
          </w:tcPr>
          <w:p w14:paraId="643F889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10" w:type="dxa"/>
            <w:vAlign w:val="center"/>
          </w:tcPr>
          <w:p w14:paraId="529BC891">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1E476A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936" w:type="dxa"/>
            <w:vAlign w:val="center"/>
          </w:tcPr>
          <w:p w14:paraId="60F89FC9">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一</w:t>
            </w:r>
          </w:p>
        </w:tc>
        <w:tc>
          <w:tcPr>
            <w:tcW w:w="7265" w:type="dxa"/>
            <w:vAlign w:val="center"/>
          </w:tcPr>
          <w:p w14:paraId="2F19BB68">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总体要求</w:t>
            </w:r>
          </w:p>
        </w:tc>
        <w:tc>
          <w:tcPr>
            <w:tcW w:w="3010" w:type="dxa"/>
            <w:vAlign w:val="center"/>
          </w:tcPr>
          <w:p w14:paraId="54A27CF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7837E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936" w:type="dxa"/>
            <w:vAlign w:val="center"/>
          </w:tcPr>
          <w:p w14:paraId="5F546BB7">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7265" w:type="dxa"/>
            <w:vAlign w:val="center"/>
          </w:tcPr>
          <w:p w14:paraId="127E328A">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主要用途：用于人体样本（全血、血浆、血清、尿液）中的内源性和外源性物质（如药物浓度、激素、营养物质等）进行定性或定量检测（需提供产品的二类医疗器械许可证书予以佐证）</w:t>
            </w:r>
          </w:p>
        </w:tc>
        <w:tc>
          <w:tcPr>
            <w:tcW w:w="3010" w:type="dxa"/>
            <w:vAlign w:val="center"/>
          </w:tcPr>
          <w:p w14:paraId="7C615D8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A89FE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D8B1DD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二</w:t>
            </w:r>
          </w:p>
        </w:tc>
        <w:tc>
          <w:tcPr>
            <w:tcW w:w="7265" w:type="dxa"/>
            <w:vAlign w:val="center"/>
          </w:tcPr>
          <w:p w14:paraId="4ADB391C">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技术参数要求</w:t>
            </w:r>
          </w:p>
        </w:tc>
        <w:tc>
          <w:tcPr>
            <w:tcW w:w="3010" w:type="dxa"/>
            <w:vAlign w:val="center"/>
          </w:tcPr>
          <w:p w14:paraId="76ABB73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505E92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90DBB4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265" w:type="dxa"/>
            <w:vAlign w:val="center"/>
          </w:tcPr>
          <w:p w14:paraId="71C43CF0">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液相色谱仪技术参数</w:t>
            </w:r>
          </w:p>
        </w:tc>
        <w:tc>
          <w:tcPr>
            <w:tcW w:w="3010" w:type="dxa"/>
            <w:vAlign w:val="center"/>
          </w:tcPr>
          <w:p w14:paraId="4E79083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F424D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3F3D60F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w:t>
            </w:r>
          </w:p>
        </w:tc>
        <w:tc>
          <w:tcPr>
            <w:tcW w:w="7265" w:type="dxa"/>
            <w:vAlign w:val="center"/>
          </w:tcPr>
          <w:p w14:paraId="02EF5696">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可编程的二元高压梯度泵，最高耐压：≥10000psi；</w:t>
            </w:r>
          </w:p>
        </w:tc>
        <w:tc>
          <w:tcPr>
            <w:tcW w:w="3010" w:type="dxa"/>
            <w:vAlign w:val="center"/>
          </w:tcPr>
          <w:p w14:paraId="4A97A8B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AE53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ED06C5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w:t>
            </w:r>
          </w:p>
        </w:tc>
        <w:tc>
          <w:tcPr>
            <w:tcW w:w="7265" w:type="dxa"/>
            <w:vAlign w:val="center"/>
          </w:tcPr>
          <w:p w14:paraId="0979E7E4">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流速范围：0.001ml/min-10.000ml/min,递增率0.001ml/min（须提供软件截图佐证）</w:t>
            </w:r>
          </w:p>
        </w:tc>
        <w:tc>
          <w:tcPr>
            <w:tcW w:w="3010" w:type="dxa"/>
            <w:vAlign w:val="center"/>
          </w:tcPr>
          <w:p w14:paraId="6F6C953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68DF5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EA3CA07">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w:t>
            </w:r>
          </w:p>
        </w:tc>
        <w:tc>
          <w:tcPr>
            <w:tcW w:w="7265" w:type="dxa"/>
            <w:vAlign w:val="center"/>
          </w:tcPr>
          <w:p w14:paraId="30BA40C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进样要求：进样量范围：1uL-50uL,进样位数不少于96位，且可兼容96孔板，配备控温自动进样器，温控范围4-40℃；</w:t>
            </w:r>
          </w:p>
        </w:tc>
        <w:tc>
          <w:tcPr>
            <w:tcW w:w="3010" w:type="dxa"/>
            <w:vAlign w:val="center"/>
          </w:tcPr>
          <w:p w14:paraId="1BA7EE8E">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33D15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9A9D78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w:t>
            </w:r>
          </w:p>
        </w:tc>
        <w:tc>
          <w:tcPr>
            <w:tcW w:w="7265" w:type="dxa"/>
            <w:vAlign w:val="center"/>
          </w:tcPr>
          <w:p w14:paraId="2C3DBD37">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为保证使用合规性和后期使用的便利性，设备生产单位需提供同品牌至少5个规格的二类注册色谱柱。（须提供色谱柱独立的二类医疗器械注册证佐证）；</w:t>
            </w:r>
          </w:p>
        </w:tc>
        <w:tc>
          <w:tcPr>
            <w:tcW w:w="3010" w:type="dxa"/>
            <w:vAlign w:val="center"/>
          </w:tcPr>
          <w:p w14:paraId="3E1FC9B8">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01E7E5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36D918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1.5</w:t>
            </w:r>
          </w:p>
        </w:tc>
        <w:tc>
          <w:tcPr>
            <w:tcW w:w="7265" w:type="dxa"/>
            <w:vAlign w:val="center"/>
          </w:tcPr>
          <w:p w14:paraId="11195928">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柱温箱标配卡位最多可放置8根色谱柱，便于不同色谱方法学切换。（提供柱温箱的实物腔体图并加盖制造商公章作为佐证）；</w:t>
            </w:r>
          </w:p>
        </w:tc>
        <w:tc>
          <w:tcPr>
            <w:tcW w:w="3010" w:type="dxa"/>
            <w:vAlign w:val="center"/>
          </w:tcPr>
          <w:p w14:paraId="7090C2F0">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4B735C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D8A6EB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w:t>
            </w:r>
          </w:p>
        </w:tc>
        <w:tc>
          <w:tcPr>
            <w:tcW w:w="7265" w:type="dxa"/>
            <w:vAlign w:val="center"/>
          </w:tcPr>
          <w:p w14:paraId="0AA7AA45">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标配柱前预加热器，减少扩散效应；</w:t>
            </w:r>
          </w:p>
        </w:tc>
        <w:tc>
          <w:tcPr>
            <w:tcW w:w="3010" w:type="dxa"/>
            <w:vAlign w:val="center"/>
          </w:tcPr>
          <w:p w14:paraId="0F72B570">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878BE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3E54C29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1.7</w:t>
            </w:r>
          </w:p>
        </w:tc>
        <w:tc>
          <w:tcPr>
            <w:tcW w:w="7265" w:type="dxa"/>
            <w:vAlign w:val="center"/>
          </w:tcPr>
          <w:p w14:paraId="7FFBA95F">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交叉污染：≤ 0.002%；</w:t>
            </w:r>
          </w:p>
        </w:tc>
        <w:tc>
          <w:tcPr>
            <w:tcW w:w="3010" w:type="dxa"/>
            <w:vAlign w:val="center"/>
          </w:tcPr>
          <w:p w14:paraId="5033C4BC">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67B25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3E3B48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7265" w:type="dxa"/>
            <w:vAlign w:val="center"/>
          </w:tcPr>
          <w:p w14:paraId="10C95DC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质谱仪技术参数</w:t>
            </w:r>
          </w:p>
        </w:tc>
        <w:tc>
          <w:tcPr>
            <w:tcW w:w="3010" w:type="dxa"/>
            <w:vAlign w:val="center"/>
          </w:tcPr>
          <w:p w14:paraId="4977ED2E">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3416B6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5E5AD9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w:t>
            </w:r>
          </w:p>
        </w:tc>
        <w:tc>
          <w:tcPr>
            <w:tcW w:w="7265" w:type="dxa"/>
            <w:vAlign w:val="center"/>
          </w:tcPr>
          <w:p w14:paraId="5B5FFD3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标配独立的电喷雾离子源(ESI)、大气压化学电离源(APCI),若配置复合离子源，须额外配置单独的ESI和APCI源；</w:t>
            </w:r>
          </w:p>
        </w:tc>
        <w:tc>
          <w:tcPr>
            <w:tcW w:w="3010" w:type="dxa"/>
            <w:vAlign w:val="center"/>
          </w:tcPr>
          <w:p w14:paraId="6B6ED52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028B9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3541A4AA">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2.2</w:t>
            </w:r>
          </w:p>
        </w:tc>
        <w:tc>
          <w:tcPr>
            <w:tcW w:w="7265" w:type="dxa"/>
            <w:vAlign w:val="center"/>
          </w:tcPr>
          <w:p w14:paraId="7FA1820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ESI流速范围：确保灵敏度不损失的前提下，无需分流，流速≥2.5mL/min（须提供软件工作截图并加盖制造商公章佐证）；</w:t>
            </w:r>
          </w:p>
        </w:tc>
        <w:tc>
          <w:tcPr>
            <w:tcW w:w="3010" w:type="dxa"/>
            <w:vAlign w:val="center"/>
          </w:tcPr>
          <w:p w14:paraId="4D2B48E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8A36E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290A2AE">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2.3</w:t>
            </w:r>
          </w:p>
        </w:tc>
        <w:tc>
          <w:tcPr>
            <w:tcW w:w="7265" w:type="dxa"/>
            <w:vAlign w:val="center"/>
          </w:tcPr>
          <w:p w14:paraId="48598B3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离子源温度：离子源内2路加热雾化气，辅助加热气温度≥720°C,该最大温度可以在软件界面下设置并运行（须提供软件截图佐证）；</w:t>
            </w:r>
          </w:p>
        </w:tc>
        <w:tc>
          <w:tcPr>
            <w:tcW w:w="3010" w:type="dxa"/>
            <w:vAlign w:val="center"/>
          </w:tcPr>
          <w:p w14:paraId="4FB8D40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8DFCB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097D67E9">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2.4</w:t>
            </w:r>
          </w:p>
        </w:tc>
        <w:tc>
          <w:tcPr>
            <w:tcW w:w="7265" w:type="dxa"/>
            <w:vAlign w:val="center"/>
          </w:tcPr>
          <w:p w14:paraId="57B28BB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xml:space="preserve">离子源基质效应低，前处理采用液液萃取LLE和不同的固相萃取柱如HLB、MCX、MIP，基质效应偏差小于2%（需提供已发表文章作为证明） </w:t>
            </w:r>
          </w:p>
        </w:tc>
        <w:tc>
          <w:tcPr>
            <w:tcW w:w="3010" w:type="dxa"/>
            <w:vAlign w:val="center"/>
          </w:tcPr>
          <w:p w14:paraId="76237C8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DF23C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1AA7F16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2.5</w:t>
            </w:r>
          </w:p>
        </w:tc>
        <w:tc>
          <w:tcPr>
            <w:tcW w:w="7265" w:type="dxa"/>
            <w:vAlign w:val="center"/>
          </w:tcPr>
          <w:p w14:paraId="7C2715B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离子传输通道采用锥孔结构和反吹气技术，无毛细管类设计装置，不会堵塞，且能有效防止生物样本中中性分子与不挥发缓冲盐由于真空压力梯度进入四极杆，保证使用后终身无需更换锥孔、以及清洗离子传输通道的毛细管类组件。（提供离子源接口的实物结构图并加盖制造商公章作为佐证）；</w:t>
            </w:r>
          </w:p>
        </w:tc>
        <w:tc>
          <w:tcPr>
            <w:tcW w:w="3010" w:type="dxa"/>
            <w:vAlign w:val="center"/>
          </w:tcPr>
          <w:p w14:paraId="06D5B5B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250D8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E52C4E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2.6</w:t>
            </w:r>
          </w:p>
        </w:tc>
        <w:tc>
          <w:tcPr>
            <w:tcW w:w="7265" w:type="dxa"/>
            <w:vAlign w:val="center"/>
          </w:tcPr>
          <w:p w14:paraId="1019592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四极杆采用陶瓷镀金材质或钼制材质，具有良好的热稳定性、导电性和最好的惰性。</w:t>
            </w:r>
          </w:p>
        </w:tc>
        <w:tc>
          <w:tcPr>
            <w:tcW w:w="3010" w:type="dxa"/>
            <w:vAlign w:val="center"/>
          </w:tcPr>
          <w:p w14:paraId="3287A0E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859F9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B0F6A8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2.7</w:t>
            </w:r>
          </w:p>
        </w:tc>
        <w:tc>
          <w:tcPr>
            <w:tcW w:w="7265" w:type="dxa"/>
            <w:vAlign w:val="center"/>
          </w:tcPr>
          <w:p w14:paraId="7FD76FF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质量范围：5-1200 m/z，且最高质量范围不超2000,稳定性≤0.1Da/24hr；</w:t>
            </w:r>
          </w:p>
        </w:tc>
        <w:tc>
          <w:tcPr>
            <w:tcW w:w="3010" w:type="dxa"/>
            <w:vAlign w:val="center"/>
          </w:tcPr>
          <w:p w14:paraId="7595118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E71EB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2CC734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2.8</w:t>
            </w:r>
          </w:p>
        </w:tc>
        <w:tc>
          <w:tcPr>
            <w:tcW w:w="7265" w:type="dxa"/>
            <w:vAlign w:val="center"/>
          </w:tcPr>
          <w:p w14:paraId="2617B58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弯曲碰撞室：不低于120度的弯曲碰撞室具先行加速技术，最大化去除生物样本中性粒子的干扰，使离子快速通过碰撞池，减少维护时间和频率。（提供碰撞反应池的结构图/彩页图并加盖制造商公章佐证）；</w:t>
            </w:r>
          </w:p>
        </w:tc>
        <w:tc>
          <w:tcPr>
            <w:tcW w:w="3010" w:type="dxa"/>
            <w:vAlign w:val="center"/>
          </w:tcPr>
          <w:p w14:paraId="779BFEB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B4059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4F0F75A">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2.9</w:t>
            </w:r>
          </w:p>
        </w:tc>
        <w:tc>
          <w:tcPr>
            <w:tcW w:w="7265" w:type="dxa"/>
            <w:vAlign w:val="center"/>
          </w:tcPr>
          <w:p w14:paraId="2C98814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配置废液防溢出监测报警器，</w:t>
            </w:r>
          </w:p>
        </w:tc>
        <w:tc>
          <w:tcPr>
            <w:tcW w:w="3010" w:type="dxa"/>
            <w:vAlign w:val="center"/>
          </w:tcPr>
          <w:p w14:paraId="4BC8450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5F072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5F26D8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2.10</w:t>
            </w:r>
          </w:p>
        </w:tc>
        <w:tc>
          <w:tcPr>
            <w:tcW w:w="7265" w:type="dxa"/>
            <w:vAlign w:val="center"/>
          </w:tcPr>
          <w:p w14:paraId="7CDC118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线性范围：≥6个数量级；</w:t>
            </w:r>
          </w:p>
        </w:tc>
        <w:tc>
          <w:tcPr>
            <w:tcW w:w="3010" w:type="dxa"/>
            <w:vAlign w:val="center"/>
          </w:tcPr>
          <w:p w14:paraId="69267FD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28A42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510B74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2.11</w:t>
            </w:r>
          </w:p>
        </w:tc>
        <w:tc>
          <w:tcPr>
            <w:tcW w:w="7265" w:type="dxa"/>
            <w:vAlign w:val="center"/>
          </w:tcPr>
          <w:p w14:paraId="690EA40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扫描速度：最大扫描速度≥12000amu/sec；</w:t>
            </w:r>
          </w:p>
        </w:tc>
        <w:tc>
          <w:tcPr>
            <w:tcW w:w="3010" w:type="dxa"/>
            <w:vAlign w:val="center"/>
          </w:tcPr>
          <w:p w14:paraId="6769AD1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082B5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6C3D644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2.12</w:t>
            </w:r>
          </w:p>
        </w:tc>
        <w:tc>
          <w:tcPr>
            <w:tcW w:w="7265" w:type="dxa"/>
            <w:vAlign w:val="center"/>
          </w:tcPr>
          <w:p w14:paraId="162BA20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分辨率:质谱半峰宽可到0.4amu（FWMH）；</w:t>
            </w:r>
          </w:p>
        </w:tc>
        <w:tc>
          <w:tcPr>
            <w:tcW w:w="3010" w:type="dxa"/>
            <w:vAlign w:val="center"/>
          </w:tcPr>
          <w:p w14:paraId="2FF626C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7E1BB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8231A7C">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2.13</w:t>
            </w:r>
          </w:p>
        </w:tc>
        <w:tc>
          <w:tcPr>
            <w:tcW w:w="7265" w:type="dxa"/>
            <w:vAlign w:val="center"/>
          </w:tcPr>
          <w:p w14:paraId="0EFCE53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仅需氮气作为仪器所需的雾化气和碰撞气。（需提供白皮书说明文件或产品彩页或第三方检测机构出具的检测报告扫描件佐证）；</w:t>
            </w:r>
          </w:p>
        </w:tc>
        <w:tc>
          <w:tcPr>
            <w:tcW w:w="3010" w:type="dxa"/>
            <w:vAlign w:val="center"/>
          </w:tcPr>
          <w:p w14:paraId="3A93EE1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3B417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FE58C0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2.14</w:t>
            </w:r>
          </w:p>
        </w:tc>
        <w:tc>
          <w:tcPr>
            <w:tcW w:w="7265" w:type="dxa"/>
            <w:vAlign w:val="center"/>
          </w:tcPr>
          <w:p w14:paraId="50605A9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仪器灵敏度</w:t>
            </w:r>
          </w:p>
        </w:tc>
        <w:tc>
          <w:tcPr>
            <w:tcW w:w="3010" w:type="dxa"/>
            <w:vAlign w:val="center"/>
          </w:tcPr>
          <w:p w14:paraId="36EF52F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CEA10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9AC2ACF">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2.14.1</w:t>
            </w:r>
          </w:p>
        </w:tc>
        <w:tc>
          <w:tcPr>
            <w:tcW w:w="7265" w:type="dxa"/>
            <w:vAlign w:val="center"/>
          </w:tcPr>
          <w:p w14:paraId="4509F63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 ESI+模式：实际柱上进样1pg利血平，信噪比≥1,000,000:1；</w:t>
            </w:r>
          </w:p>
        </w:tc>
        <w:tc>
          <w:tcPr>
            <w:tcW w:w="3010" w:type="dxa"/>
            <w:vAlign w:val="center"/>
          </w:tcPr>
          <w:p w14:paraId="5B17959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712F9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08B49B1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2.14.2</w:t>
            </w:r>
          </w:p>
        </w:tc>
        <w:tc>
          <w:tcPr>
            <w:tcW w:w="7265" w:type="dxa"/>
            <w:vAlign w:val="center"/>
          </w:tcPr>
          <w:p w14:paraId="15FAAB1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2 ESI-模式：1pg氯霉素柱上进样，信噪比≥1,000,000:1；</w:t>
            </w:r>
          </w:p>
        </w:tc>
        <w:tc>
          <w:tcPr>
            <w:tcW w:w="3010" w:type="dxa"/>
            <w:vAlign w:val="center"/>
          </w:tcPr>
          <w:p w14:paraId="6D7C944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04AB9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1B5B4404">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2.15</w:t>
            </w:r>
          </w:p>
        </w:tc>
        <w:tc>
          <w:tcPr>
            <w:tcW w:w="7265" w:type="dxa"/>
            <w:vAlign w:val="center"/>
          </w:tcPr>
          <w:p w14:paraId="2AD9594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xml:space="preserve">临床实际应用            </w:t>
            </w:r>
          </w:p>
        </w:tc>
        <w:tc>
          <w:tcPr>
            <w:tcW w:w="3010" w:type="dxa"/>
            <w:vAlign w:val="center"/>
          </w:tcPr>
          <w:p w14:paraId="75C6021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EF240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E439D8C">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2.15.1</w:t>
            </w:r>
          </w:p>
        </w:tc>
        <w:tc>
          <w:tcPr>
            <w:tcW w:w="7265" w:type="dxa"/>
            <w:vAlign w:val="center"/>
          </w:tcPr>
          <w:p w14:paraId="50E1CF4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抗HIV药物及其代谢物检测应用：设备供应商需具备提供阿巴卡韦、拉米夫定、奈韦拉平、齐多夫定、替诺福韦、依法韦仑、利托那韦、洛匹那韦等抗HIV药物及其代谢产物的配套试剂产品的能力，或能提供经验证的、成熟的检测方法；</w:t>
            </w:r>
          </w:p>
        </w:tc>
        <w:tc>
          <w:tcPr>
            <w:tcW w:w="3010" w:type="dxa"/>
            <w:vAlign w:val="center"/>
          </w:tcPr>
          <w:p w14:paraId="17D72F1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BA48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0FAEDFF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2.15.2</w:t>
            </w:r>
          </w:p>
        </w:tc>
        <w:tc>
          <w:tcPr>
            <w:tcW w:w="7265" w:type="dxa"/>
            <w:vAlign w:val="center"/>
          </w:tcPr>
          <w:p w14:paraId="101D5E5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xml:space="preserve">抗结核药物检测应用：设备供应商需具备提供异烟肼、利福平、乙胺丁醇、吡嗪酰胺等抗结核药物配套试剂产品的能力，提供配套产品试剂盒方案； </w:t>
            </w:r>
          </w:p>
        </w:tc>
        <w:tc>
          <w:tcPr>
            <w:tcW w:w="3010" w:type="dxa"/>
            <w:vAlign w:val="center"/>
          </w:tcPr>
          <w:p w14:paraId="63DB94C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E499A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019AD569">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7265" w:type="dxa"/>
            <w:vAlign w:val="center"/>
          </w:tcPr>
          <w:p w14:paraId="234D00B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其它</w:t>
            </w:r>
          </w:p>
        </w:tc>
        <w:tc>
          <w:tcPr>
            <w:tcW w:w="3010" w:type="dxa"/>
            <w:vAlign w:val="center"/>
          </w:tcPr>
          <w:p w14:paraId="0D28BA3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96308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350F74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3.1</w:t>
            </w:r>
          </w:p>
        </w:tc>
        <w:tc>
          <w:tcPr>
            <w:tcW w:w="7265" w:type="dxa"/>
            <w:vAlign w:val="center"/>
          </w:tcPr>
          <w:p w14:paraId="27406FE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LDT：为保障医院更好的开展中科研和日常检测，仪器生产厂家及其关联企业拥有ISO 17034《标准物质/标准样品生产者能力认可准则》体系认证证书，满足医院自主研发需求（提供证书并加盖公章）；</w:t>
            </w:r>
          </w:p>
        </w:tc>
        <w:tc>
          <w:tcPr>
            <w:tcW w:w="3010" w:type="dxa"/>
            <w:vAlign w:val="center"/>
          </w:tcPr>
          <w:p w14:paraId="34A55CD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36528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169C63B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三</w:t>
            </w:r>
          </w:p>
        </w:tc>
        <w:tc>
          <w:tcPr>
            <w:tcW w:w="7265" w:type="dxa"/>
            <w:vAlign w:val="center"/>
          </w:tcPr>
          <w:p w14:paraId="6AB1F2A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配置要求</w:t>
            </w:r>
          </w:p>
        </w:tc>
        <w:tc>
          <w:tcPr>
            <w:tcW w:w="3010" w:type="dxa"/>
            <w:vAlign w:val="center"/>
          </w:tcPr>
          <w:p w14:paraId="220A164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EA563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14897FC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7265" w:type="dxa"/>
            <w:vAlign w:val="center"/>
          </w:tcPr>
          <w:p w14:paraId="0B38201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液相色谱仪1套（包含：二元高压泵（含真空脱气机），柱温箱，温控自动进样器，溶剂托盘）</w:t>
            </w:r>
          </w:p>
        </w:tc>
        <w:tc>
          <w:tcPr>
            <w:tcW w:w="3010" w:type="dxa"/>
            <w:vAlign w:val="center"/>
          </w:tcPr>
          <w:p w14:paraId="0929933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0BA2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1546BB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7265" w:type="dxa"/>
            <w:vAlign w:val="center"/>
          </w:tcPr>
          <w:p w14:paraId="432A9B5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三重四极杆质谱仪1套（包含：电喷雾离子源（ESI)，大气压化学电离离子源（APCI)，真空系统（涡轮分子泵），离子传输系统，蠕动注射泵，四极杆组件，检测器）</w:t>
            </w:r>
          </w:p>
        </w:tc>
        <w:tc>
          <w:tcPr>
            <w:tcW w:w="3010" w:type="dxa"/>
            <w:vAlign w:val="center"/>
          </w:tcPr>
          <w:p w14:paraId="10C8B0A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B80A8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6F0FBA4E">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7265" w:type="dxa"/>
            <w:vAlign w:val="center"/>
          </w:tcPr>
          <w:p w14:paraId="42DEE88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质谱软件系统1套（包含：中文界面质谱工作站软件，一键式临床质谱自动化检验操作及报告软件，高通量定量优化和数据处理软件）</w:t>
            </w:r>
          </w:p>
        </w:tc>
        <w:tc>
          <w:tcPr>
            <w:tcW w:w="3010" w:type="dxa"/>
            <w:vAlign w:val="center"/>
          </w:tcPr>
          <w:p w14:paraId="7C095B6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0A5C3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651611E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7265" w:type="dxa"/>
            <w:vAlign w:val="center"/>
          </w:tcPr>
          <w:p w14:paraId="669FF0E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23英寸液晶显示器1个</w:t>
            </w:r>
          </w:p>
        </w:tc>
        <w:tc>
          <w:tcPr>
            <w:tcW w:w="3010" w:type="dxa"/>
            <w:vAlign w:val="center"/>
          </w:tcPr>
          <w:p w14:paraId="64B7FE2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9354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1A43F9D9">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7265" w:type="dxa"/>
            <w:vAlign w:val="center"/>
          </w:tcPr>
          <w:p w14:paraId="79EA670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电脑工作站主机1台（配置不低于：CPU：Intel (R) Xeon(R) W-2245 CPU @ 3.90GHz，内存：32G，硬盘：1TB x2（RAID1镜像备份），网卡：PCIe 10/100/1000M 双口自适应网卡）</w:t>
            </w:r>
          </w:p>
        </w:tc>
        <w:tc>
          <w:tcPr>
            <w:tcW w:w="3010" w:type="dxa"/>
            <w:vAlign w:val="center"/>
          </w:tcPr>
          <w:p w14:paraId="7F2728C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F1BF9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3B9C4A7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7265" w:type="dxa"/>
            <w:vAlign w:val="center"/>
          </w:tcPr>
          <w:p w14:paraId="5A8574D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微软办公软件1套</w:t>
            </w:r>
          </w:p>
        </w:tc>
        <w:tc>
          <w:tcPr>
            <w:tcW w:w="3010" w:type="dxa"/>
            <w:vAlign w:val="center"/>
          </w:tcPr>
          <w:p w14:paraId="0D85B23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38337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BBD89F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7265" w:type="dxa"/>
            <w:vAlign w:val="center"/>
          </w:tcPr>
          <w:p w14:paraId="78C41F9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质谱调谐试剂1套</w:t>
            </w:r>
          </w:p>
        </w:tc>
        <w:tc>
          <w:tcPr>
            <w:tcW w:w="3010" w:type="dxa"/>
            <w:vAlign w:val="center"/>
          </w:tcPr>
          <w:p w14:paraId="0E8A7C9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9821F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F9D26F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w:t>
            </w:r>
          </w:p>
        </w:tc>
        <w:tc>
          <w:tcPr>
            <w:tcW w:w="7265" w:type="dxa"/>
            <w:vAlign w:val="center"/>
          </w:tcPr>
          <w:p w14:paraId="1C2386E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电喷雾离子源（ESI)喷针1根</w:t>
            </w:r>
          </w:p>
        </w:tc>
        <w:tc>
          <w:tcPr>
            <w:tcW w:w="3010" w:type="dxa"/>
            <w:vAlign w:val="center"/>
          </w:tcPr>
          <w:p w14:paraId="14654F0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B9405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ADFE7C9">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w:t>
            </w:r>
          </w:p>
        </w:tc>
        <w:tc>
          <w:tcPr>
            <w:tcW w:w="7265" w:type="dxa"/>
            <w:vAlign w:val="center"/>
          </w:tcPr>
          <w:p w14:paraId="6BCEA75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机械泵 （包含泵油2L）1套</w:t>
            </w:r>
          </w:p>
        </w:tc>
        <w:tc>
          <w:tcPr>
            <w:tcW w:w="3010" w:type="dxa"/>
            <w:vAlign w:val="center"/>
          </w:tcPr>
          <w:p w14:paraId="6C7CEF7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70D06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8E6150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7265" w:type="dxa"/>
            <w:vAlign w:val="center"/>
          </w:tcPr>
          <w:p w14:paraId="589B728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维修工具包1个</w:t>
            </w:r>
          </w:p>
        </w:tc>
        <w:tc>
          <w:tcPr>
            <w:tcW w:w="3010" w:type="dxa"/>
            <w:vAlign w:val="center"/>
          </w:tcPr>
          <w:p w14:paraId="565876B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F096C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FD161C4">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w:t>
            </w:r>
          </w:p>
        </w:tc>
        <w:tc>
          <w:tcPr>
            <w:tcW w:w="7265" w:type="dxa"/>
            <w:vAlign w:val="center"/>
          </w:tcPr>
          <w:p w14:paraId="17723F3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氮气发生器 1套</w:t>
            </w:r>
          </w:p>
        </w:tc>
        <w:tc>
          <w:tcPr>
            <w:tcW w:w="3010" w:type="dxa"/>
            <w:vAlign w:val="center"/>
          </w:tcPr>
          <w:p w14:paraId="04B1422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3DEC1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1F8BF98A">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w:t>
            </w:r>
          </w:p>
        </w:tc>
        <w:tc>
          <w:tcPr>
            <w:tcW w:w="7265" w:type="dxa"/>
            <w:vAlign w:val="center"/>
          </w:tcPr>
          <w:p w14:paraId="428615E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UPS 1套</w:t>
            </w:r>
          </w:p>
        </w:tc>
        <w:tc>
          <w:tcPr>
            <w:tcW w:w="3010" w:type="dxa"/>
            <w:vAlign w:val="center"/>
          </w:tcPr>
          <w:p w14:paraId="438B5D5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C49EE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67290775">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四</w:t>
            </w:r>
          </w:p>
        </w:tc>
        <w:tc>
          <w:tcPr>
            <w:tcW w:w="7265" w:type="dxa"/>
            <w:vAlign w:val="center"/>
          </w:tcPr>
          <w:p w14:paraId="2E5FCC3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售后服务要求</w:t>
            </w:r>
          </w:p>
        </w:tc>
        <w:tc>
          <w:tcPr>
            <w:tcW w:w="3010" w:type="dxa"/>
            <w:vAlign w:val="center"/>
          </w:tcPr>
          <w:p w14:paraId="42FC536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B6CB6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B440117">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7265" w:type="dxa"/>
            <w:vAlign w:val="center"/>
          </w:tcPr>
          <w:p w14:paraId="6381414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保修期限：≥3年</w:t>
            </w:r>
          </w:p>
        </w:tc>
        <w:tc>
          <w:tcPr>
            <w:tcW w:w="3010" w:type="dxa"/>
            <w:vAlign w:val="center"/>
          </w:tcPr>
          <w:p w14:paraId="146CBD3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bl>
    <w:p w14:paraId="3CD8F677">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 xml:space="preserve">  </w:t>
      </w:r>
    </w:p>
    <w:p w14:paraId="3DB14733">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p>
    <w:p w14:paraId="760F7EB4">
      <w:pPr>
        <w:spacing w:line="440" w:lineRule="exact"/>
        <w:jc w:val="left"/>
        <w:rPr>
          <w:rFonts w:hint="eastAsia" w:ascii="仿宋_GB2312" w:hAnsi="仿宋_GB2312" w:eastAsia="仿宋_GB2312" w:cs="仿宋_GB2312"/>
          <w:color w:val="000000"/>
          <w:kern w:val="0"/>
          <w:sz w:val="28"/>
          <w:szCs w:val="28"/>
        </w:rPr>
      </w:pPr>
    </w:p>
    <w:p w14:paraId="6FEF900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联系人：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p>
    <w:p w14:paraId="30316489">
      <w:pPr>
        <w:spacing w:line="440" w:lineRule="exact"/>
        <w:ind w:firstLine="560" w:firstLineChars="200"/>
        <w:jc w:val="left"/>
        <w:rPr>
          <w:rFonts w:hint="eastAsia" w:ascii="仿宋_GB2312" w:hAnsi="仿宋_GB2312" w:eastAsia="仿宋_GB2312" w:cs="仿宋_GB2312"/>
          <w:color w:val="000000"/>
          <w:kern w:val="0"/>
          <w:sz w:val="28"/>
          <w:szCs w:val="28"/>
        </w:rPr>
      </w:pPr>
    </w:p>
    <w:p w14:paraId="099DE784">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14:paraId="043CAF21">
      <w:pPr>
        <w:spacing w:line="44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单位：（盖章）</w:t>
      </w:r>
    </w:p>
    <w:p w14:paraId="30E2FBBB">
      <w:pPr>
        <w:spacing w:line="44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p>
    <w:p w14:paraId="114FF4E4">
      <w:pPr>
        <w:ind w:firstLine="5320" w:firstLineChars="1900"/>
      </w:pPr>
      <w:r>
        <w:rPr>
          <w:rFonts w:hint="eastAsia" w:ascii="仿宋_GB2312" w:hAnsi="仿宋_GB2312" w:eastAsia="仿宋_GB2312" w:cs="仿宋_GB2312"/>
          <w:color w:val="000000"/>
          <w:kern w:val="0"/>
          <w:sz w:val="28"/>
          <w:szCs w:val="28"/>
        </w:rPr>
        <w:t xml:space="preserve"> 202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C6372A-B53B-4C00-A1BC-F38C8262B1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16673D-FF8A-4AC7-BFA3-6CF771494462}"/>
  </w:font>
  <w:font w:name="方正小标宋_GBK">
    <w:altName w:val="微软雅黑"/>
    <w:panose1 w:val="00000000000000000000"/>
    <w:charset w:val="86"/>
    <w:family w:val="script"/>
    <w:pitch w:val="default"/>
    <w:sig w:usb0="00000000" w:usb1="00000000" w:usb2="00082016" w:usb3="00000000" w:csb0="00040001" w:csb1="00000000"/>
    <w:embedRegular r:id="rId3" w:fontKey="{91371529-0EEB-4322-A20E-2789E2607385}"/>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embedRegular r:id="rId4" w:fontKey="{151BC8E4-EA3B-4AC7-AAE6-AC16863F2829}"/>
  </w:font>
  <w:font w:name="仿宋_GB2312">
    <w:altName w:val="仿宋"/>
    <w:panose1 w:val="02010609030101010101"/>
    <w:charset w:val="86"/>
    <w:family w:val="modern"/>
    <w:pitch w:val="default"/>
    <w:sig w:usb0="00000000" w:usb1="00000000" w:usb2="00000000" w:usb3="00000000" w:csb0="00040000" w:csb1="00000000"/>
    <w:embedRegular r:id="rId5" w:fontKey="{759E3A6C-F453-46BC-9473-C386EC3EA16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WI1MWM0YmMwNzkzYTZmYmI4NjM4ZDU0ZDhiMzgifQ=="/>
  </w:docVars>
  <w:rsids>
    <w:rsidRoot w:val="5B67085C"/>
    <w:rsid w:val="01590B55"/>
    <w:rsid w:val="02C05E2F"/>
    <w:rsid w:val="03FA54FB"/>
    <w:rsid w:val="08FD4606"/>
    <w:rsid w:val="0B8C4604"/>
    <w:rsid w:val="0F515C7A"/>
    <w:rsid w:val="1ACA07D0"/>
    <w:rsid w:val="20225A33"/>
    <w:rsid w:val="29CB6FBF"/>
    <w:rsid w:val="2D360D42"/>
    <w:rsid w:val="307A1AE5"/>
    <w:rsid w:val="35280B03"/>
    <w:rsid w:val="3AA20FB4"/>
    <w:rsid w:val="3C027BD4"/>
    <w:rsid w:val="3D5B18EE"/>
    <w:rsid w:val="3F0C7BFD"/>
    <w:rsid w:val="3FE931E1"/>
    <w:rsid w:val="429D6505"/>
    <w:rsid w:val="51C25E8F"/>
    <w:rsid w:val="51E7689A"/>
    <w:rsid w:val="59746BF9"/>
    <w:rsid w:val="597E746C"/>
    <w:rsid w:val="5B67085C"/>
    <w:rsid w:val="5D0C499F"/>
    <w:rsid w:val="61263164"/>
    <w:rsid w:val="626C6975"/>
    <w:rsid w:val="66FB71D3"/>
    <w:rsid w:val="73E10E68"/>
    <w:rsid w:val="775A1CF3"/>
    <w:rsid w:val="77C7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rFonts w:cs="Times New Roman"/>
      <w:kern w:val="0"/>
      <w:sz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2249</Words>
  <Characters>2570</Characters>
  <Lines>0</Lines>
  <Paragraphs>0</Paragraphs>
  <TotalTime>8</TotalTime>
  <ScaleCrop>false</ScaleCrop>
  <LinksUpToDate>false</LinksUpToDate>
  <CharactersWithSpaces>2913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2024-07-12T12:28:00Z</dcterms:created>
  <dc:creator>Never</dc:creator>
  <cp:lastModifiedBy>WPS_535982091</cp:lastModifiedBy>
  <dcterms:modified xsi:type="dcterms:W3CDTF">2025-07-28T00:15:05Z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FBDE97BCC13B4C5CB6BE5E18E6D298D3_11</vt:lpwstr>
  </property>
  <property fmtid="{D5CDD505-2E9C-101B-9397-08002B2CF9AE}" pid="4" name="KSOTemplateDocerSaveRecord">
    <vt:lpwstr>eyJoZGlkIjoiMDk5YWI1MWM0YmMwNzkzYTZmYmI4NjM4ZDU0ZDhiMzgiLCJ1c2VySWQiOiI1MzU5ODIwOTEifQ==</vt:lpwstr>
  </property>
</Properties>
</file>